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DC4" w:rsidRPr="00BF267E" w:rsidRDefault="00FA1DC4" w:rsidP="00BF267E">
      <w:pPr>
        <w:numPr>
          <w:ilvl w:val="0"/>
          <w:numId w:val="1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In May 2013, the </w:t>
      </w:r>
      <w:r w:rsidRPr="00BF267E">
        <w:rPr>
          <w:rFonts w:ascii="Arial" w:hAnsi="Arial" w:cs="Arial"/>
          <w:bCs/>
          <w:spacing w:val="-3"/>
          <w:sz w:val="22"/>
          <w:szCs w:val="22"/>
        </w:rPr>
        <w:t>Parliament</w:t>
      </w:r>
      <w:r w:rsidR="007E229D">
        <w:rPr>
          <w:rFonts w:ascii="Arial" w:hAnsi="Arial" w:cs="Arial"/>
          <w:bCs/>
          <w:spacing w:val="-3"/>
          <w:sz w:val="22"/>
          <w:szCs w:val="22"/>
        </w:rPr>
        <w:t>’s State Development, Infrastructure and Industry Committee (the Committee) release</w:t>
      </w:r>
      <w:r w:rsidR="002430DE">
        <w:rPr>
          <w:rFonts w:ascii="Arial" w:hAnsi="Arial" w:cs="Arial"/>
          <w:bCs/>
          <w:spacing w:val="-3"/>
          <w:sz w:val="22"/>
          <w:szCs w:val="22"/>
        </w:rPr>
        <w:t>d</w:t>
      </w:r>
      <w:r w:rsidR="007E229D">
        <w:rPr>
          <w:rFonts w:ascii="Arial" w:hAnsi="Arial" w:cs="Arial"/>
          <w:bCs/>
          <w:spacing w:val="-3"/>
          <w:sz w:val="22"/>
          <w:szCs w:val="22"/>
        </w:rPr>
        <w:t xml:space="preserve"> the final report of its</w:t>
      </w:r>
      <w:r w:rsidRPr="00BF267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430DE">
        <w:rPr>
          <w:rFonts w:ascii="Arial" w:hAnsi="Arial" w:cs="Arial"/>
          <w:bCs/>
          <w:spacing w:val="-3"/>
          <w:sz w:val="22"/>
          <w:szCs w:val="22"/>
        </w:rPr>
        <w:t>‘I</w:t>
      </w:r>
      <w:r w:rsidRPr="00BF267E">
        <w:rPr>
          <w:rFonts w:ascii="Arial" w:hAnsi="Arial" w:cs="Arial"/>
          <w:bCs/>
          <w:spacing w:val="-3"/>
          <w:sz w:val="22"/>
          <w:szCs w:val="22"/>
        </w:rPr>
        <w:t>nquiry into the future and continued relevance of government land tenure in Queensland</w:t>
      </w:r>
      <w:r w:rsidR="002430DE">
        <w:rPr>
          <w:rFonts w:ascii="Arial" w:hAnsi="Arial" w:cs="Arial"/>
          <w:bCs/>
          <w:spacing w:val="-3"/>
          <w:sz w:val="22"/>
          <w:szCs w:val="22"/>
        </w:rPr>
        <w:t>’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E229D" w:rsidRPr="00F42488">
        <w:rPr>
          <w:rFonts w:ascii="Arial" w:hAnsi="Arial" w:cs="Arial"/>
          <w:sz w:val="22"/>
          <w:szCs w:val="22"/>
        </w:rPr>
        <w:t>(the Parliamentary inquiry report - No. 25, 31 May 2013</w:t>
      </w:r>
      <w:r w:rsidR="007E229D">
        <w:rPr>
          <w:rFonts w:ascii="Arial" w:hAnsi="Arial" w:cs="Arial"/>
          <w:sz w:val="22"/>
          <w:szCs w:val="22"/>
        </w:rPr>
        <w:t>)</w:t>
      </w:r>
      <w:r w:rsidRPr="00BF267E">
        <w:rPr>
          <w:rFonts w:ascii="Arial" w:hAnsi="Arial" w:cs="Arial"/>
          <w:bCs/>
          <w:spacing w:val="-3"/>
          <w:sz w:val="22"/>
          <w:szCs w:val="22"/>
        </w:rPr>
        <w:t>.</w:t>
      </w:r>
      <w:r w:rsidRPr="007C3E1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BF267E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7E229D">
        <w:rPr>
          <w:rFonts w:ascii="Arial" w:hAnsi="Arial" w:cs="Arial"/>
          <w:bCs/>
          <w:spacing w:val="-3"/>
          <w:sz w:val="22"/>
          <w:szCs w:val="22"/>
        </w:rPr>
        <w:t>C</w:t>
      </w:r>
      <w:r w:rsidRPr="00BF267E">
        <w:rPr>
          <w:rFonts w:ascii="Arial" w:hAnsi="Arial" w:cs="Arial"/>
          <w:bCs/>
          <w:spacing w:val="-3"/>
          <w:sz w:val="22"/>
          <w:szCs w:val="22"/>
        </w:rPr>
        <w:t>ommittee made 44 recommendations to promote the security and certainty for leaseholders and native title parties.</w:t>
      </w:r>
    </w:p>
    <w:p w:rsidR="00FA1DC4" w:rsidRDefault="00FA1DC4" w:rsidP="00BF267E">
      <w:pPr>
        <w:numPr>
          <w:ilvl w:val="0"/>
          <w:numId w:val="1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F267E">
        <w:rPr>
          <w:rFonts w:ascii="Arial" w:hAnsi="Arial" w:cs="Arial"/>
          <w:bCs/>
          <w:spacing w:val="-3"/>
          <w:sz w:val="22"/>
          <w:szCs w:val="22"/>
        </w:rPr>
        <w:t xml:space="preserve">In response to the </w:t>
      </w:r>
      <w:r w:rsidR="002430DE">
        <w:rPr>
          <w:rFonts w:ascii="Arial" w:hAnsi="Arial" w:cs="Arial"/>
          <w:bCs/>
          <w:spacing w:val="-3"/>
          <w:sz w:val="22"/>
          <w:szCs w:val="22"/>
        </w:rPr>
        <w:t>I</w:t>
      </w:r>
      <w:r>
        <w:rPr>
          <w:rFonts w:ascii="Arial" w:hAnsi="Arial" w:cs="Arial"/>
          <w:bCs/>
          <w:spacing w:val="-3"/>
          <w:sz w:val="22"/>
          <w:szCs w:val="22"/>
        </w:rPr>
        <w:t>nquiry</w:t>
      </w:r>
      <w:r w:rsidRPr="00BF267E">
        <w:rPr>
          <w:rFonts w:ascii="Arial" w:hAnsi="Arial" w:cs="Arial"/>
          <w:bCs/>
          <w:spacing w:val="-3"/>
          <w:sz w:val="22"/>
          <w:szCs w:val="22"/>
        </w:rPr>
        <w:t>, the government will commence a fundamental reform of the government’s role as owner of over 65</w:t>
      </w:r>
      <w:r w:rsidR="007E229D">
        <w:rPr>
          <w:rFonts w:ascii="Arial" w:hAnsi="Arial" w:cs="Arial"/>
          <w:bCs/>
          <w:spacing w:val="-3"/>
          <w:sz w:val="22"/>
          <w:szCs w:val="22"/>
        </w:rPr>
        <w:t> per cent</w:t>
      </w:r>
      <w:r w:rsidRPr="00BF267E">
        <w:rPr>
          <w:rFonts w:ascii="Arial" w:hAnsi="Arial" w:cs="Arial"/>
          <w:bCs/>
          <w:spacing w:val="-3"/>
          <w:sz w:val="22"/>
          <w:szCs w:val="22"/>
        </w:rPr>
        <w:t xml:space="preserve"> of land in Queensland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Pr="00BF267E">
        <w:rPr>
          <w:rFonts w:ascii="Arial" w:hAnsi="Arial" w:cs="Arial"/>
          <w:bCs/>
          <w:spacing w:val="-3"/>
          <w:sz w:val="22"/>
          <w:szCs w:val="22"/>
        </w:rPr>
        <w:t xml:space="preserve">In many cases, the reforms will go further than what has been suggested by the recommendations in the </w:t>
      </w:r>
      <w:r w:rsidR="007E229D">
        <w:rPr>
          <w:rFonts w:ascii="Arial" w:hAnsi="Arial" w:cs="Arial"/>
          <w:bCs/>
          <w:spacing w:val="-3"/>
          <w:sz w:val="22"/>
          <w:szCs w:val="22"/>
        </w:rPr>
        <w:t>C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ommittee’s </w:t>
      </w:r>
      <w:r w:rsidRPr="00BF267E">
        <w:rPr>
          <w:rFonts w:ascii="Arial" w:hAnsi="Arial" w:cs="Arial"/>
          <w:bCs/>
          <w:spacing w:val="-3"/>
          <w:sz w:val="22"/>
          <w:szCs w:val="22"/>
        </w:rPr>
        <w:t>report.</w:t>
      </w:r>
    </w:p>
    <w:p w:rsidR="007E229D" w:rsidRDefault="007E229D" w:rsidP="00B84797">
      <w:pPr>
        <w:numPr>
          <w:ilvl w:val="0"/>
          <w:numId w:val="1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84797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as the first phase of the </w:t>
      </w:r>
      <w:r w:rsidRPr="007E229D">
        <w:rPr>
          <w:rFonts w:ascii="Arial" w:hAnsi="Arial" w:cs="Arial"/>
          <w:bCs/>
          <w:spacing w:val="-3"/>
          <w:sz w:val="22"/>
          <w:szCs w:val="22"/>
        </w:rPr>
        <w:t>government’s response, the policy direction of proposed new pathways to greater tenure security and freehold for the state’s rural leasehold land leases including:</w:t>
      </w:r>
    </w:p>
    <w:p w:rsidR="007E229D" w:rsidRPr="00B84797" w:rsidRDefault="007E229D" w:rsidP="009A39AB">
      <w:pPr>
        <w:pStyle w:val="ListParagraph"/>
        <w:numPr>
          <w:ilvl w:val="0"/>
          <w:numId w:val="17"/>
        </w:numPr>
        <w:spacing w:before="120"/>
        <w:ind w:left="851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84797">
        <w:rPr>
          <w:rFonts w:ascii="Arial" w:hAnsi="Arial" w:cs="Arial"/>
          <w:bCs/>
          <w:spacing w:val="-3"/>
          <w:sz w:val="22"/>
          <w:szCs w:val="22"/>
        </w:rPr>
        <w:t xml:space="preserve">introduction of a rolling lease; </w:t>
      </w:r>
    </w:p>
    <w:p w:rsidR="007E229D" w:rsidRPr="00B84797" w:rsidRDefault="007E229D" w:rsidP="009A39AB">
      <w:pPr>
        <w:pStyle w:val="ListParagraph"/>
        <w:numPr>
          <w:ilvl w:val="0"/>
          <w:numId w:val="17"/>
        </w:numPr>
        <w:spacing w:before="120"/>
        <w:ind w:left="851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84797">
        <w:rPr>
          <w:rFonts w:ascii="Arial" w:hAnsi="Arial" w:cs="Arial"/>
          <w:bCs/>
          <w:spacing w:val="-3"/>
          <w:sz w:val="22"/>
          <w:szCs w:val="22"/>
        </w:rPr>
        <w:t xml:space="preserve">removal of corporations and aggregation restrictions; </w:t>
      </w:r>
    </w:p>
    <w:p w:rsidR="007E229D" w:rsidRDefault="007E229D" w:rsidP="009A39AB">
      <w:pPr>
        <w:pStyle w:val="ListParagraph"/>
        <w:numPr>
          <w:ilvl w:val="0"/>
          <w:numId w:val="17"/>
        </w:numPr>
        <w:spacing w:before="120"/>
        <w:ind w:left="851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84797">
        <w:rPr>
          <w:rFonts w:ascii="Arial" w:hAnsi="Arial" w:cs="Arial"/>
          <w:bCs/>
          <w:spacing w:val="-3"/>
          <w:sz w:val="22"/>
          <w:szCs w:val="22"/>
        </w:rPr>
        <w:t xml:space="preserve">removal of the nexus between lease renewal and land management agreements; and </w:t>
      </w:r>
    </w:p>
    <w:p w:rsidR="007E229D" w:rsidRPr="00B84797" w:rsidRDefault="007E229D" w:rsidP="009A39AB">
      <w:pPr>
        <w:pStyle w:val="ListParagraph"/>
        <w:numPr>
          <w:ilvl w:val="0"/>
          <w:numId w:val="17"/>
        </w:numPr>
        <w:spacing w:before="120"/>
        <w:ind w:left="709" w:hanging="218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84797">
        <w:rPr>
          <w:rFonts w:ascii="Arial" w:hAnsi="Arial" w:cs="Arial"/>
          <w:bCs/>
          <w:spacing w:val="-3"/>
          <w:sz w:val="22"/>
          <w:szCs w:val="22"/>
        </w:rPr>
        <w:t>the removal of the requirement to move from term lease for pastoral purposes to perpetual lease prior to freehold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7E229D" w:rsidRDefault="00806B61" w:rsidP="002430DE">
      <w:pPr>
        <w:numPr>
          <w:ilvl w:val="0"/>
          <w:numId w:val="1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84797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terms of reference to a fundamental review of the </w:t>
      </w:r>
      <w:r w:rsidRPr="00B84797">
        <w:rPr>
          <w:rFonts w:ascii="Arial" w:hAnsi="Arial" w:cs="Arial"/>
          <w:bCs/>
          <w:i/>
          <w:spacing w:val="-3"/>
          <w:sz w:val="22"/>
          <w:szCs w:val="22"/>
        </w:rPr>
        <w:t xml:space="preserve">Land Act 1994 </w:t>
      </w:r>
      <w:r>
        <w:rPr>
          <w:rFonts w:ascii="Arial" w:hAnsi="Arial" w:cs="Arial"/>
          <w:bCs/>
          <w:spacing w:val="-3"/>
          <w:sz w:val="22"/>
          <w:szCs w:val="22"/>
        </w:rPr>
        <w:t>as the second phase of implementation of the government’s response.</w:t>
      </w:r>
    </w:p>
    <w:p w:rsidR="00FA1DC4" w:rsidRPr="00F42488" w:rsidRDefault="00FA1DC4" w:rsidP="00F42488">
      <w:pPr>
        <w:numPr>
          <w:ilvl w:val="0"/>
          <w:numId w:val="1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F42488">
        <w:rPr>
          <w:rFonts w:ascii="Arial" w:hAnsi="Arial" w:cs="Arial"/>
          <w:sz w:val="22"/>
          <w:szCs w:val="22"/>
          <w:u w:val="single"/>
        </w:rPr>
        <w:t>Cabinet approved</w:t>
      </w:r>
      <w:r w:rsidRPr="00B84797">
        <w:rPr>
          <w:rFonts w:ascii="Arial" w:hAnsi="Arial" w:cs="Arial"/>
          <w:sz w:val="22"/>
          <w:szCs w:val="22"/>
        </w:rPr>
        <w:t xml:space="preserve"> </w:t>
      </w:r>
      <w:r w:rsidRPr="00F42488">
        <w:rPr>
          <w:rFonts w:ascii="Arial" w:hAnsi="Arial" w:cs="Arial"/>
          <w:sz w:val="22"/>
          <w:szCs w:val="22"/>
        </w:rPr>
        <w:t xml:space="preserve">the content and release of the government’s response to the </w:t>
      </w:r>
      <w:r w:rsidR="007E229D">
        <w:rPr>
          <w:rFonts w:ascii="Arial" w:hAnsi="Arial" w:cs="Arial"/>
          <w:sz w:val="22"/>
          <w:szCs w:val="22"/>
        </w:rPr>
        <w:t xml:space="preserve">Committee’s </w:t>
      </w:r>
      <w:r w:rsidR="002430DE">
        <w:rPr>
          <w:rFonts w:ascii="Arial" w:hAnsi="Arial" w:cs="Arial"/>
          <w:sz w:val="22"/>
          <w:szCs w:val="22"/>
        </w:rPr>
        <w:t>report on the ‘I</w:t>
      </w:r>
      <w:r w:rsidRPr="00F42488">
        <w:rPr>
          <w:rFonts w:ascii="Arial" w:hAnsi="Arial" w:cs="Arial"/>
          <w:sz w:val="22"/>
          <w:szCs w:val="22"/>
        </w:rPr>
        <w:t>nquiry into the future and continued relevance of government land tenure across Queensland</w:t>
      </w:r>
      <w:r w:rsidR="002430DE">
        <w:rPr>
          <w:rFonts w:ascii="Arial" w:hAnsi="Arial" w:cs="Arial"/>
          <w:sz w:val="22"/>
          <w:szCs w:val="22"/>
        </w:rPr>
        <w:t>’</w:t>
      </w:r>
      <w:r w:rsidR="00FE7663">
        <w:rPr>
          <w:rFonts w:ascii="Arial" w:hAnsi="Arial" w:cs="Arial"/>
          <w:sz w:val="22"/>
          <w:szCs w:val="22"/>
        </w:rPr>
        <w:t>.</w:t>
      </w:r>
    </w:p>
    <w:p w:rsidR="00FA1DC4" w:rsidRPr="00F42488" w:rsidRDefault="00FA1DC4" w:rsidP="009A39AB">
      <w:pPr>
        <w:numPr>
          <w:ilvl w:val="0"/>
          <w:numId w:val="1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  <w:u w:val="single"/>
        </w:rPr>
      </w:pPr>
      <w:r w:rsidRPr="00F42488">
        <w:rPr>
          <w:rFonts w:ascii="Arial" w:hAnsi="Arial" w:cs="Arial"/>
          <w:sz w:val="22"/>
          <w:szCs w:val="22"/>
          <w:u w:val="single"/>
        </w:rPr>
        <w:t>Attachments</w:t>
      </w:r>
    </w:p>
    <w:p w:rsidR="009A39AB" w:rsidRPr="009A39AB" w:rsidRDefault="008B41DC" w:rsidP="00F54F66">
      <w:pPr>
        <w:numPr>
          <w:ilvl w:val="0"/>
          <w:numId w:val="1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9A39AB" w:rsidRPr="0090511E">
          <w:rPr>
            <w:rStyle w:val="Hyperlink"/>
            <w:rFonts w:ascii="Arial" w:hAnsi="Arial" w:cs="Arial"/>
            <w:bCs/>
            <w:sz w:val="22"/>
            <w:szCs w:val="22"/>
          </w:rPr>
          <w:t>Inquiry into the future and continued relevance of government land tenure in Queensland’ R</w:t>
        </w:r>
        <w:r w:rsidR="009A39AB" w:rsidRPr="0090511E">
          <w:rPr>
            <w:rStyle w:val="Hyperlink"/>
            <w:rFonts w:ascii="Arial" w:hAnsi="Arial" w:cs="Arial"/>
            <w:sz w:val="22"/>
            <w:szCs w:val="22"/>
          </w:rPr>
          <w:t>eport - No. 25</w:t>
        </w:r>
      </w:hyperlink>
    </w:p>
    <w:p w:rsidR="00F54F66" w:rsidRPr="00F54F66" w:rsidRDefault="008B41DC" w:rsidP="00F54F66">
      <w:pPr>
        <w:numPr>
          <w:ilvl w:val="0"/>
          <w:numId w:val="1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FA1DC4" w:rsidRPr="0090511E">
          <w:rPr>
            <w:rStyle w:val="Hyperlink"/>
            <w:rFonts w:ascii="Arial" w:hAnsi="Arial" w:cs="Arial"/>
            <w:sz w:val="22"/>
            <w:szCs w:val="22"/>
          </w:rPr>
          <w:t xml:space="preserve">Government response to the </w:t>
        </w:r>
        <w:r w:rsidR="00FA1DC4" w:rsidRPr="0090511E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Parliamentary Inquiry into the future and continued relevance of government land tenure in Queensland</w:t>
        </w:r>
      </w:hyperlink>
    </w:p>
    <w:sectPr w:rsidR="00F54F66" w:rsidRPr="00F54F66" w:rsidSect="009A39AB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3B0" w:rsidRDefault="00F923B0" w:rsidP="00D6589B">
      <w:r>
        <w:separator/>
      </w:r>
    </w:p>
  </w:endnote>
  <w:endnote w:type="continuationSeparator" w:id="0">
    <w:p w:rsidR="00F923B0" w:rsidRDefault="00F923B0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3B0" w:rsidRDefault="00F923B0" w:rsidP="00D6589B">
      <w:r>
        <w:separator/>
      </w:r>
    </w:p>
  </w:footnote>
  <w:footnote w:type="continuationSeparator" w:id="0">
    <w:p w:rsidR="00F923B0" w:rsidRDefault="00F923B0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DC4" w:rsidRPr="00D75134" w:rsidRDefault="00FA1DC4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State">
      <w:smartTag w:uri="urn:schemas-microsoft-com:office:smarttags" w:element="place">
        <w:r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FA1DC4" w:rsidRPr="00D75134" w:rsidRDefault="00FA1DC4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FA1DC4" w:rsidRPr="001E209B" w:rsidRDefault="00FA1DC4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August</w:t>
    </w:r>
    <w:r w:rsidR="002430DE">
      <w:rPr>
        <w:rFonts w:ascii="Arial" w:hAnsi="Arial" w:cs="Arial"/>
        <w:b/>
        <w:sz w:val="22"/>
        <w:szCs w:val="22"/>
      </w:rPr>
      <w:t xml:space="preserve"> 2013</w:t>
    </w:r>
  </w:p>
  <w:p w:rsidR="00FA1DC4" w:rsidRDefault="00067304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State L</w:t>
    </w:r>
    <w:r w:rsidR="00FA1DC4" w:rsidRPr="007E229D">
      <w:rPr>
        <w:rFonts w:ascii="Arial" w:hAnsi="Arial" w:cs="Arial"/>
        <w:b/>
        <w:sz w:val="22"/>
        <w:szCs w:val="22"/>
        <w:u w:val="single"/>
      </w:rPr>
      <w:t xml:space="preserve">and </w:t>
    </w:r>
    <w:r>
      <w:rPr>
        <w:rFonts w:ascii="Arial" w:hAnsi="Arial" w:cs="Arial"/>
        <w:b/>
        <w:sz w:val="22"/>
        <w:szCs w:val="22"/>
        <w:u w:val="single"/>
      </w:rPr>
      <w:t>T</w:t>
    </w:r>
    <w:r w:rsidR="00FA1DC4" w:rsidRPr="007E229D">
      <w:rPr>
        <w:rFonts w:ascii="Arial" w:hAnsi="Arial" w:cs="Arial"/>
        <w:b/>
        <w:sz w:val="22"/>
        <w:szCs w:val="22"/>
        <w:u w:val="single"/>
      </w:rPr>
      <w:t xml:space="preserve">enure </w:t>
    </w:r>
    <w:r>
      <w:rPr>
        <w:rFonts w:ascii="Arial" w:hAnsi="Arial" w:cs="Arial"/>
        <w:b/>
        <w:sz w:val="22"/>
        <w:szCs w:val="22"/>
        <w:u w:val="single"/>
      </w:rPr>
      <w:t>R</w:t>
    </w:r>
    <w:r w:rsidR="00FA1DC4" w:rsidRPr="007E229D">
      <w:rPr>
        <w:rFonts w:ascii="Arial" w:hAnsi="Arial" w:cs="Arial"/>
        <w:b/>
        <w:sz w:val="22"/>
        <w:szCs w:val="22"/>
        <w:u w:val="single"/>
      </w:rPr>
      <w:t>eform</w:t>
    </w:r>
  </w:p>
  <w:p w:rsidR="00FA1DC4" w:rsidRPr="007E229D" w:rsidRDefault="00FA1DC4" w:rsidP="0090511E">
    <w:pPr>
      <w:pStyle w:val="Header"/>
      <w:spacing w:before="120"/>
      <w:ind w:left="1134" w:hanging="1134"/>
      <w:rPr>
        <w:rFonts w:ascii="Arial" w:hAnsi="Arial" w:cs="Arial"/>
        <w:b/>
        <w:sz w:val="22"/>
        <w:szCs w:val="22"/>
        <w:u w:val="single"/>
      </w:rPr>
    </w:pPr>
    <w:r w:rsidRPr="007E229D">
      <w:rPr>
        <w:rFonts w:ascii="Arial" w:hAnsi="Arial" w:cs="Arial"/>
        <w:b/>
        <w:sz w:val="22"/>
        <w:szCs w:val="22"/>
        <w:u w:val="single"/>
      </w:rPr>
      <w:t>Deputy Premier and Minister for State Development, Infrastructure and Planning</w:t>
    </w:r>
  </w:p>
  <w:p w:rsidR="00D80F0A" w:rsidRDefault="00FA1DC4" w:rsidP="00D80F0A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  <w:u w:val="single"/>
      </w:rPr>
    </w:pPr>
    <w:r w:rsidRPr="007E229D">
      <w:rPr>
        <w:rFonts w:ascii="Arial" w:hAnsi="Arial" w:cs="Arial"/>
        <w:b/>
        <w:sz w:val="22"/>
        <w:szCs w:val="22"/>
        <w:u w:val="single"/>
      </w:rPr>
      <w:t>Minister for Natural Resources and Mines</w:t>
    </w:r>
  </w:p>
  <w:p w:rsidR="00D80F0A" w:rsidRDefault="00D80F0A" w:rsidP="00D80F0A">
    <w:pPr>
      <w:pStyle w:val="Header"/>
      <w:pBdr>
        <w:bottom w:val="single" w:sz="4" w:space="1" w:color="auto"/>
      </w:pBdr>
    </w:pPr>
  </w:p>
  <w:p w:rsidR="00D80F0A" w:rsidRPr="00D80F0A" w:rsidRDefault="00D80F0A" w:rsidP="00D80F0A">
    <w:pPr>
      <w:pStyle w:val="Header"/>
      <w:rPr>
        <w:rFonts w:ascii="Arial" w:hAnsi="Arial" w:cs="Arial"/>
        <w:b/>
        <w:sz w:val="4"/>
        <w:szCs w:val="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E721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81D61DE"/>
    <w:multiLevelType w:val="multilevel"/>
    <w:tmpl w:val="CBA4ECB4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 w:hint="default"/>
      </w:rPr>
    </w:lvl>
  </w:abstractNum>
  <w:abstractNum w:abstractNumId="3" w15:restartNumberingAfterBreak="0">
    <w:nsid w:val="633252F5"/>
    <w:multiLevelType w:val="hybridMultilevel"/>
    <w:tmpl w:val="DDB4FC4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B08530B"/>
    <w:multiLevelType w:val="hybridMultilevel"/>
    <w:tmpl w:val="3238D936"/>
    <w:lvl w:ilvl="0" w:tplc="557498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75DE1"/>
    <w:multiLevelType w:val="hybridMultilevel"/>
    <w:tmpl w:val="92E012E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176F87"/>
    <w:multiLevelType w:val="hybridMultilevel"/>
    <w:tmpl w:val="27B0D3D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7"/>
  </w:num>
  <w:num w:numId="12">
    <w:abstractNumId w:val="6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35"/>
    <w:rsid w:val="000430DD"/>
    <w:rsid w:val="00067304"/>
    <w:rsid w:val="00080F8F"/>
    <w:rsid w:val="00116794"/>
    <w:rsid w:val="001221F1"/>
    <w:rsid w:val="00140936"/>
    <w:rsid w:val="0019063A"/>
    <w:rsid w:val="00196055"/>
    <w:rsid w:val="001B2B2D"/>
    <w:rsid w:val="001E209B"/>
    <w:rsid w:val="0021344B"/>
    <w:rsid w:val="002369C5"/>
    <w:rsid w:val="002430DE"/>
    <w:rsid w:val="002635FC"/>
    <w:rsid w:val="00263A09"/>
    <w:rsid w:val="00320D5C"/>
    <w:rsid w:val="00331B2C"/>
    <w:rsid w:val="003961C6"/>
    <w:rsid w:val="003B5871"/>
    <w:rsid w:val="00433B25"/>
    <w:rsid w:val="0045450D"/>
    <w:rsid w:val="004E3AE1"/>
    <w:rsid w:val="00501C66"/>
    <w:rsid w:val="00520C8C"/>
    <w:rsid w:val="00537F0F"/>
    <w:rsid w:val="00575438"/>
    <w:rsid w:val="005B0DDB"/>
    <w:rsid w:val="005B0F9D"/>
    <w:rsid w:val="005D7B28"/>
    <w:rsid w:val="00603CEA"/>
    <w:rsid w:val="00651E3D"/>
    <w:rsid w:val="00700064"/>
    <w:rsid w:val="00732E22"/>
    <w:rsid w:val="00740EF5"/>
    <w:rsid w:val="0076143A"/>
    <w:rsid w:val="007B37D1"/>
    <w:rsid w:val="007C3E17"/>
    <w:rsid w:val="007D3F1C"/>
    <w:rsid w:val="007E229D"/>
    <w:rsid w:val="00806B61"/>
    <w:rsid w:val="00854599"/>
    <w:rsid w:val="008A4523"/>
    <w:rsid w:val="008B41DC"/>
    <w:rsid w:val="008C3E96"/>
    <w:rsid w:val="008F44CD"/>
    <w:rsid w:val="00900DD7"/>
    <w:rsid w:val="0090511E"/>
    <w:rsid w:val="00927E1C"/>
    <w:rsid w:val="00943435"/>
    <w:rsid w:val="00950178"/>
    <w:rsid w:val="009A39AB"/>
    <w:rsid w:val="009E4572"/>
    <w:rsid w:val="00A42E73"/>
    <w:rsid w:val="00A527A5"/>
    <w:rsid w:val="00A576CB"/>
    <w:rsid w:val="00A804D2"/>
    <w:rsid w:val="00AE4854"/>
    <w:rsid w:val="00B04F47"/>
    <w:rsid w:val="00B11769"/>
    <w:rsid w:val="00B83AE4"/>
    <w:rsid w:val="00B84797"/>
    <w:rsid w:val="00B90731"/>
    <w:rsid w:val="00BC40F9"/>
    <w:rsid w:val="00BF267E"/>
    <w:rsid w:val="00C066FE"/>
    <w:rsid w:val="00C07656"/>
    <w:rsid w:val="00C1692B"/>
    <w:rsid w:val="00C41B4A"/>
    <w:rsid w:val="00C4479A"/>
    <w:rsid w:val="00C55ADA"/>
    <w:rsid w:val="00C5606D"/>
    <w:rsid w:val="00C978F6"/>
    <w:rsid w:val="00CA3057"/>
    <w:rsid w:val="00CE6FBA"/>
    <w:rsid w:val="00CF0D8A"/>
    <w:rsid w:val="00D264F0"/>
    <w:rsid w:val="00D4539A"/>
    <w:rsid w:val="00D46145"/>
    <w:rsid w:val="00D6589B"/>
    <w:rsid w:val="00D75134"/>
    <w:rsid w:val="00D80F0A"/>
    <w:rsid w:val="00D81596"/>
    <w:rsid w:val="00DB6FE7"/>
    <w:rsid w:val="00DC320E"/>
    <w:rsid w:val="00DE3EF2"/>
    <w:rsid w:val="00DE61EC"/>
    <w:rsid w:val="00DF0FFC"/>
    <w:rsid w:val="00E23076"/>
    <w:rsid w:val="00E82D3D"/>
    <w:rsid w:val="00E86DC5"/>
    <w:rsid w:val="00F028D7"/>
    <w:rsid w:val="00F10DF9"/>
    <w:rsid w:val="00F42488"/>
    <w:rsid w:val="00F54F66"/>
    <w:rsid w:val="00F923B0"/>
    <w:rsid w:val="00FA1DC4"/>
    <w:rsid w:val="00FB7348"/>
    <w:rsid w:val="00FE7663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D6589B"/>
    <w:rPr>
      <w:rFonts w:cs="Times New Roman"/>
    </w:rPr>
  </w:style>
  <w:style w:type="paragraph" w:customStyle="1" w:styleId="CLLOparanumbers">
    <w:name w:val="CLLO para numbers"/>
    <w:basedOn w:val="ListNumber"/>
    <w:link w:val="CLLOparanumbersChar"/>
    <w:uiPriority w:val="99"/>
    <w:rsid w:val="00BF267E"/>
    <w:pPr>
      <w:numPr>
        <w:numId w:val="0"/>
      </w:numPr>
      <w:spacing w:before="60" w:after="60"/>
      <w:contextualSpacing w:val="0"/>
      <w:jc w:val="both"/>
    </w:pPr>
    <w:rPr>
      <w:rFonts w:ascii="Arial" w:eastAsia="Times New Roman" w:hAnsi="Arial"/>
      <w:color w:val="auto"/>
      <w:sz w:val="20"/>
      <w:lang w:eastAsia="en-US"/>
    </w:rPr>
  </w:style>
  <w:style w:type="character" w:customStyle="1" w:styleId="CLLOparanumbersChar">
    <w:name w:val="CLLO para numbers Char"/>
    <w:link w:val="CLLOparanumbers"/>
    <w:uiPriority w:val="99"/>
    <w:locked/>
    <w:rsid w:val="00BF267E"/>
    <w:rPr>
      <w:rFonts w:ascii="Arial" w:hAnsi="Arial" w:cs="Times New Roman"/>
      <w:lang w:val="en-AU" w:eastAsia="en-US"/>
    </w:rPr>
  </w:style>
  <w:style w:type="paragraph" w:styleId="ListNumber">
    <w:name w:val="List Number"/>
    <w:basedOn w:val="Normal"/>
    <w:uiPriority w:val="99"/>
    <w:rsid w:val="00BF267E"/>
    <w:pPr>
      <w:numPr>
        <w:numId w:val="13"/>
      </w:numPr>
      <w:contextualSpacing/>
    </w:pPr>
  </w:style>
  <w:style w:type="character" w:styleId="CommentReference">
    <w:name w:val="annotation reference"/>
    <w:uiPriority w:val="99"/>
    <w:rsid w:val="00C55A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55ADA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C55ADA"/>
    <w:rPr>
      <w:rFonts w:ascii="Times New Roman" w:hAnsi="Times New Roman" w:cs="Times New Roman"/>
      <w:color w:val="00000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55ADA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C55ADA"/>
    <w:rPr>
      <w:rFonts w:ascii="Times New Roman" w:hAnsi="Times New Roman" w:cs="Times New Roman"/>
      <w:b/>
      <w:bCs/>
      <w:color w:val="000000"/>
      <w:lang w:val="en-AU" w:eastAsia="en-AU"/>
    </w:rPr>
  </w:style>
  <w:style w:type="paragraph" w:styleId="ListParagraph">
    <w:name w:val="List Paragraph"/>
    <w:basedOn w:val="Normal"/>
    <w:uiPriority w:val="34"/>
    <w:qFormat/>
    <w:rsid w:val="007E229D"/>
    <w:pPr>
      <w:ind w:left="720"/>
      <w:contextualSpacing/>
    </w:pPr>
  </w:style>
  <w:style w:type="character" w:styleId="Hyperlink">
    <w:name w:val="Hyperlink"/>
    <w:uiPriority w:val="99"/>
    <w:unhideWhenUsed/>
    <w:rsid w:val="00C978F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978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2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Response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Repo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ka\AppData\Local\Microsoft\Windows\Temporary%20Internet%20Files\Content.IE5\4EUXVDW7\Proactive%20Release%20-%20submission%20decision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- submission decision summary.dot</Template>
  <TotalTime>0</TotalTime>
  <Pages>1</Pages>
  <Words>279</Words>
  <Characters>1519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1791</CharactersWithSpaces>
  <SharedDoc>false</SharedDoc>
  <HyperlinkBase>https://www.cabinet.qld.gov.au/documents/2013/Aug/Land Tenure/</HyperlinkBase>
  <HLinks>
    <vt:vector size="12" baseType="variant">
      <vt:variant>
        <vt:i4>4915281</vt:i4>
      </vt:variant>
      <vt:variant>
        <vt:i4>3</vt:i4>
      </vt:variant>
      <vt:variant>
        <vt:i4>0</vt:i4>
      </vt:variant>
      <vt:variant>
        <vt:i4>5</vt:i4>
      </vt:variant>
      <vt:variant>
        <vt:lpwstr>Attachments/Response.pdf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Attachments/Report.pdf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2013-08-26T03:55:00Z</cp:lastPrinted>
  <dcterms:created xsi:type="dcterms:W3CDTF">2017-10-25T00:49:00Z</dcterms:created>
  <dcterms:modified xsi:type="dcterms:W3CDTF">2018-03-06T01:16:00Z</dcterms:modified>
  <cp:category>Land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